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62 vom 1. März 2024</w:t>
      </w:r>
    </w:p>
    <w:p>
      <w:r>
        <w:t>VS Kantonsgericht, 2024-03-01, FR</w:t>
      </w:r>
    </w:p>
    <w:p>
      <w:r>
        <w:rPr>
          <w:b/>
        </w:rPr>
        <w:t xml:space="preserve">Quelle: </w:t>
      </w:r>
      <w:r>
        <w:t>https://mcp.opencaselaw.ch/entscheid/vs_gerichte_F1 24 62</w:t>
      </w:r>
    </w:p>
    <w:p>
      <w:r>
        <w:t>FR: VS_GERICHTE F1 24 62 du 1 mars 2024</w:t>
      </w:r>
    </w:p>
    <w:p>
      <w:r>
        <w:t>IT: VS_GERICHTE F1 24 62 del 1 marzo 2024</w:t>
      </w:r>
    </w:p>
    <w:p>
      <w:pPr>
        <w:pStyle w:val="Heading2"/>
      </w:pPr>
      <w:r>
        <w:t>Erwägungen</w:t>
      </w:r>
    </w:p>
    <w:p>
      <w:r>
        <w:rPr>
          <w:b/>
        </w:rPr>
        <w:t>E. 1.1</w:t>
      </w:r>
    </w:p>
    <w:p>
      <w:r>
        <w:t>Conformément à la loi réorganisant la juridiction fiscale du 11 mars 2022 (RCV 2022- 102), la Cour de céans constitue désormais l’autorité ordinaire de recours contre les décisions des autorités fiscales (cf. not. art. 81a al. 1 LPJA et art. 8 LALIFD). Il lui appartient par conséquent de statuer sur le recours du 23 mars 2023, celui-ci n’ayant pas été tranché au 31 décembre 2023 par la CCR.</w:t>
      </w:r>
    </w:p>
    <w:p>
      <w:r>
        <w:rPr>
          <w:b/>
        </w:rPr>
        <w:t>E. 1.2</w:t>
      </w:r>
    </w:p>
    <w:p>
      <w:r>
        <w:t>Le recours porte tant sur l’IFD que sur les ICC et peut être traité dans un seul arrêt (cf. ATF 135 II 260 consid. 1.3.1). Il a été formé régulièrement, de sorte qu’il convient d’entrer en matière (art. 140 ss LIFD ; art. 50 al. 1 LHID ; art. 150 et 150a LF dans leur version en vigueur jusqu’au 31 décembre 2023 ; art. 150 LF). II. Impôt fédéral direct</w:t>
      </w:r>
    </w:p>
    <w:p>
      <w:r>
        <w:rPr>
          <w:b/>
        </w:rPr>
        <w:t>E. 2</w:t>
      </w:r>
    </w:p>
    <w:p>
      <w:r>
        <w:t>Dans un grief qu’il convient de traiter en premier, la recourante reproche à l’autorité intimée de ne pas s’être fondée sur des faits nouveaux pour procéder aux rappels d’impôts.</w:t>
      </w:r>
    </w:p>
    <w:p>
      <w:r>
        <w:rPr>
          <w:b/>
        </w:rPr>
        <w:t>E. 2.1</w:t>
      </w:r>
    </w:p>
    <w:p>
      <w:r>
        <w:t>Aux termes de l'art. 151 al. 1 LIFD,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Selon l'art. 151 al. 2 LIFD, lorsque le contribuable a déposé une déclaration complète et précise concernant son revenu, sa fortune et son bénéfice net, qu'il a déterminé son capital propre de façon adéquate et que l'autorité fiscale en a admis l'évaluation, tout rappel d'impôt est exclu, même si l'évaluation était insuffisante.</w:t>
      </w:r>
    </w:p>
    <w:p>
      <w:r>
        <w:rPr>
          <w:b/>
        </w:rPr>
        <w:t>E. 2.2</w:t>
      </w:r>
    </w:p>
    <w:p>
      <w:r>
        <w:t>Le rappel d'impôt est le pendant, en faveur du fisc, de la révision en faveur du contribuable. Cette procédure porte sur la perception d'impôts qui n'ont pas pu être prélevés par l'administration cantonale au cours de la taxation ordinaire. Le rappel d'impôt n'est soumis qu'à des conditions objectives : il implique qu'une taxation n'a, à tort, pas été établie ou est restée incomplète, de sorte que la collectivité publique a subi une perte fiscale ; il suppose aussi l'existence d'un motif de rappel (ATF 144 II 359 consid. 4.5.1). Un motif de rappel d'impôt peut résider dans la découverte de faits ou de</w:t>
      </w:r>
    </w:p>
    <w:p>
      <w:r>
        <w:t>- 8 - moyens de preuve inconnus jusque-là, soit des faits ou moyens de preuves qui ne ressortaient pas du dossier dont disposait l'autorité fiscale au moment de la taxation. Selon la jurisprudence, l'autorité fiscale peut, en principe, considérer que la déclaration d'impôt est exacte et complète et elle n'est pas tenue, à défaut d'indices correspondants, de rechercher des informations complémentaires. En d'autres termes, l'autorité fiscale ne doit se livrer à des investigations complémentaires au moment de procéder à la taxation que si la déclaration contient indiscutablement des inexactitudes flagrantes. Des inexactitudes qui ne sont que décelables, sans être flagrantes, ne permettent pas de considérer que certains faits ou moyens de preuve étaient déjà connus des autorités au moment de la taxation. Lorsque l'autorité fiscale aurait dû se rendre compte de l'état de fait incomplet ou inexact, le rapport de causalité adéquate entre la déclaration lacunaire et la taxation insuffisante ou incomplète est interrompu et les conditions pour procéder ultérieurement à un rappel d'impôt font défaut. Cette rupture du lien de causalité est soumise à des exigences sévères, à savoir une négligence grave imputable à l'autorité fiscale (arrêt du Tribunal fédéral 2C_396/2022 du 7 décembre 2022 consid. 6.1.4 et les références citées ; ég. CASANOVA, Le rappel d’impôt, in RDAF 1999 p. 3 ss, spéc. p. 11). La décision sur rappel d'impôt fixe le supplément à payer par le contribuable en lien avec l'élément qui n'a – à tort – pas été imposé et ne représente pas une prétention fiscale de nature différente de la créance primitive d'impôt (ATF 144 II 359 précité consid. 4.5.1).</w:t>
      </w:r>
    </w:p>
    <w:p>
      <w:r>
        <w:rPr>
          <w:b/>
        </w:rPr>
        <w:t>E. 2.3</w:t>
      </w:r>
    </w:p>
    <w:p>
      <w:r>
        <w:t>En l’espèce, la recourante conteste que l’ouverture de la procédure en rappel d’impôt à son encontre réalise les conditions précitées, en particulier l’existence d’un motif de rappel, l’autorité ne se fondant pas sur un fait nouveau. Au cours de la procédure, le SCC a souligné le fait que la découverte de biens immobiliers et d’un compte bancaire en A _________ constituait un tel motif. Il ressort du dossier fiscal de l’intéressée que l’autorité n’avait jamais eu en mains d’informations concernant les biens mobiliers et immobiliers dont elle disposait en A _________ avant qu’elle n’allègue, le 13 juillet 2020, avoir financé ses dépenses 2018 « à l’aide de ressources personnelles (épargne privée et biens) situées en Suisse et en A _________ » et qu’elle ne fournisse sa déclaration d’impôts A _________ 2018, par courrier du 31 juillet 2020. Ainsi, ces éléments relèvent bien de faits nouveaux au sens du droit fiscal, puisqu’il s’agit d’éléments dont l’autorité n’avait pas connaissance au moment où elle a procédé aux taxations objets du rappel d’impôt. En outre, la contribuable ne peut se prévaloir du fait que l’autorité aurait dû conduire des investigations plus tôt dans la procédure, puisqu’elle avait, en sus des pensions alimentaires et des revenus d’immeubles, déclarés des titres et comptes bancaires, ainsi que des revenus de titres, donnant ainsi l’apparence que ses déclarations d’impôts étaient complètes. Certes, il ressort des pièces du dossier que le</w:t>
      </w:r>
    </w:p>
    <w:p>
      <w:r>
        <w:t>- 9 - SCC l’a interpellée à deux reprises, le 6 janvier 2015, au sujet de variations de sa fortune, et le 19 décembre 2016, au sujet des rentes AVS perçues par le couple à l’étranger ainsi que de la fortune de son époux à l’étranger et de la déclaration d’impôt 2015 du couple en A _________. La recourante y avait toutefois répondu en prétextant, d’abord, recevoir des apports ponctuels de son époux, soulignant être toujours mariée tout en jouissant d’un domicile séparé de celui-ci, puis, dans son courrier suivant, elle avait indiqué qu’il lui versait des contributions d’entretien. Elle n’avait à aucun moment mentionné le fait qu’elle jouissait d’une quelconque fortune à l’étranger, restant au contraire silencieuse à ce sujet. Assistée d’un mandataire professionnel, elle connaissait l’étendue de son obligation de collaboration (cf. art. 126 LIFD), auquel elle a sciemment manqué en omettant de signaler les éléments de fortune détenus à l’étranger alors même qu’elle avait été directement interrogée à ce sujet par l’autorité fiscale. Si on peut certes regretter l’absence, à réception des réponses de la contribuable, d’investigations complémentaires de la part de cette autorité, il n’apparait pas, aux yeux du Tribunal, que l’inexactitude des déclarations était flagrante au point de considérer le manque d’attention de celle-ci comme une négligence grave.</w:t>
      </w:r>
    </w:p>
    <w:p>
      <w:r>
        <w:rPr>
          <w:b/>
        </w:rPr>
        <w:t>E. 2.4</w:t>
      </w:r>
    </w:p>
    <w:p>
      <w:r>
        <w:t>Partant, ce grief doit être rejeté.</w:t>
      </w:r>
    </w:p>
    <w:p>
      <w:r>
        <w:rPr>
          <w:b/>
        </w:rPr>
        <w:t>E. 3</w:t>
      </w:r>
    </w:p>
    <w:p>
      <w:r>
        <w:t>Dans deux griefs qu’il convient de traiter conjointement, la recourante reproche à l’autorité intimée de ne pas avoir tenu compte du fait qu’elle n’était pas domiciliée fiscalement en Suisse durant les périodes considérées et se plaint d’une double imposition internationale prohibée, invoquant, à ce titre, une violation de l’art. 4 CDI-It.</w:t>
      </w:r>
    </w:p>
    <w:p>
      <w:r>
        <w:rPr>
          <w:b/>
        </w:rPr>
        <w:t>E. 3.1</w:t>
      </w:r>
    </w:p>
    <w:p>
      <w:r>
        <w:t>Le rappel d'impôt n'équivaut pas à un nouvel examen complet de la taxation, mais ne porte que sur les points pour lesquels l'autorité fiscale dispose de nouveaux éléments. L'existence d'un rappel d'impôt ne saurait ainsi autoriser le contribuable à revenir librement sur l'ensemble de sa taxation. Les nouveaux arguments que le contribuable peut faire valoir de son côté pour diminuer l'imposition dans la procédure de rappel d'impôt sont donc limités. Sous réserve d'une erreur manifeste, celui-ci peut uniquement demander que la taxation soit reprise en sa faveur sur les points qui, précisément, font l'objet du rappel d'impôt (arrêt du Tribunal fédéral 2C_122/2022 du 15 décembre 2022 consid. 13.1 et les références citées). En particulier, dès lors qu’un contribuable a admis son assujettissement fiscal illimité en Suisse, il ne peut pas par la suite le contester dans le cadre d’une procédure en rappel d’impôts ou dans une procédure pénale fiscale, car un tel comportement serait contraire à la bonne foi (arrêt du Tribunal fédéral 2C_395/2011 du 6 décembre 2011 consid. 5.3 ; voir également arrêt du Tribunal administratif zurichois SR.2020.00030 du 31 mars 2021 consid. 4.2 ; LOOSER in</w:t>
      </w:r>
    </w:p>
    <w:p>
      <w:r>
        <w:t>- 10 - Bundesgesetz über die direkte Bundessteuer, Kommentar DBG, 4e éd. 2022, n° 30a ad art. 151 DBG).</w:t>
      </w:r>
    </w:p>
    <w:p>
      <w:r>
        <w:rPr>
          <w:b/>
        </w:rPr>
        <w:t>E. 3.2</w:t>
      </w:r>
    </w:p>
    <w:p>
      <w:r>
        <w:t>La CDI-It s’applique aux personnes résidentes d’un Etat contractant ou de chacun des deux Etats (art. 1 CDI-It) et aux impôts sur le revenu et sur la fortune perçus pour le compte de chacun des Etats contractants, de ses subdivisions politiques ou administratives et de ses collectivités locales, quel que soit le système de perception (art. 2 al. 1 CDI-It). Est considérée comme un « résident d’un Etat contractant » au sens de la CDI-It, toute personne qui, en vertu de la législation dudit Etat, est assujettie à l’impôt dans cet Etat, en raison de son domicile, de sa résidence, de son siège de direction ou de tout autre critère de nature analogue. Toutefois, cette expression n’inclut pas les personnes qui ne sont imposables dans cet Etat que pour le revenu qu’elles tirent de sources situées dans ledit Etat ou pour la fortune qu’elles possèdent dans cet Etat (art. 4 al. 1 CDI-It). Les conventions internationales en matière de double imposition ne contiennent que des règles visant à limiter les pouvoirs d'imposition des Etats mais ne fondent pas l'imposition elle-même. Par conséquent, il convient d'abord de s'assurer de l'existence d'un droit (interne) d'imposition, puis, le cas échéant, de vérifier que ce droit d'imposition n'est pas limité par une disposition conventionnelle visant à restreindre ou éliminer une éventuelle double imposition internationale (ATF 143 II 257 consid. 5.1 et les références citées).</w:t>
      </w:r>
    </w:p>
    <w:p>
      <w:r>
        <w:rPr>
          <w:b/>
        </w:rPr>
        <w:t>E. 3.3</w:t>
      </w:r>
    </w:p>
    <w:p>
      <w:r>
        <w:t>En l’occurrence, nonobstant sa résidence en Suisse durant les périodes fiscales 2011 à 2018, la recourante soutient avoir conservé sa résidence fiscale en A _________. Cela étant, dès le 1er septembre 2008, elle a déclaré aux autorités compétentes s’établir en Valais, motif pour lequel elle a été mise au bénéfice, d’abord, d’une autorisation de séjour B UE/AELE, puis d’une autorisation d’établissement (permis C). Assistée d’un mandataire professionnel, la contribuable a rempli des formulaires de déclaration d’impôts pour personnes physiques dans ce canton pour les années 2011 à 2017, sans formuler aucune réserve sur la question de son domicile ni fournir d’indication sur des éléments de fortune à l’étranger. Elle n’a pas non plus formé réclamation à l’encontre des décisions de taxation concernant ces années fiscales, à l’exception de celle de 2011, concernant la réduction de sa pension alimentaire. Elle n’a ainsi jamais contesté l’étendue de son assujettissement avant la procédure de rappel d’impôts. Interrogée par l’autorité fiscale communale, elle a par ailleurs expressément indiqué jouir d’un domicile séparé de son époux, laissant entendre que son domicile propre se trouvait en Suisse et celui de son époux, en A _________. Sur la base de ce qui précède, l’autorité fiscale était fondée à considérer qu’elle était assujettie de manière illimitée à l’impôt en Suisse.</w:t>
      </w:r>
    </w:p>
    <w:p>
      <w:r>
        <w:t>- 11 - La recourante, qui n’a fait valoir aucune objection dans le cadre de la procédure ordinaire, ne peut dès lors plus remettre en cause cette question dans le cadre de la procédure en rappel d’impôt ouverte à son encontre depuis le 11 août 2021.</w:t>
      </w:r>
    </w:p>
    <w:p>
      <w:r>
        <w:rPr>
          <w:b/>
        </w:rPr>
        <w:t>E. 3.4</w:t>
      </w:r>
    </w:p>
    <w:p>
      <w:r>
        <w:t>Pour les mêmes motifs, l’existence d’une double imposition prohibée doit être écartée. En effet, la recourante, qui n’a jamais soulevé ce grief avant la procédure en rappel d’impôt, adopte ici un comportement contradictoire et contraire à la bonne foi, qui n’est pas digne d’être protégé (cf. MARTIN ZWEIFEL/SIVLIA HUNZIKER, in : Kommentar zum Schweizerischen Steuerrecht, Internationales Steuerrecht, 2015, n° 32, n° 48, n° 52 et n° 102 ad art. 4 OECD-MA ; arrêt du Tribunal administratif zurichois SR.2020.00030 précité consid. 4.2.1-4.2.2 ; VVGE 1991/1992 Nr 45 consid. 3c/ff). Au demeurant, la Cour relève que si elle a produit des déclarations fiscales A _________ relatives aux périodes considérées, la recourante n’a fourni aucune preuve démontrant que les autorités fiscales A _________ l’auraient assujettie de manière illimitée à l’impôt dans ce pays. En particulier, l’on ne trouve pas au dossier de bordereau de taxation qui lui aurait été notifié par ces autorités durant ce laps de temps, la seule attestation de domicile à E _________ produite en cours de procédure n’étant pas suffisante à cet égard. Il n’apparait dès lors pas que l’on se trouverait en présence d’une double imposition, comme le soutient la recourante.</w:t>
      </w:r>
    </w:p>
    <w:p>
      <w:r>
        <w:rPr>
          <w:b/>
        </w:rPr>
        <w:t>E. 3.5</w:t>
      </w:r>
    </w:p>
    <w:p>
      <w:r>
        <w:t>Partant, ces griefs doivent être rejetés. III. Impôts cantonaux et communaux</w:t>
      </w:r>
    </w:p>
    <w:p>
      <w:r>
        <w:rPr>
          <w:b/>
        </w:rPr>
        <w:t>E. 4</w:t>
      </w:r>
    </w:p>
    <w:p>
      <w:r>
        <w:t>Les règles juridiquement pertinentes s’agissant du rappel d’impôt en matière d’IFD sont identiques à celles régissant ces questions pour les ICC, à savoir l’art. 53 LHID, repris en droit valaisan à l’art. 158 LF. Or, la jurisprudence rendue en matière d’IFD est valable pour l’interprétation et l’application des dispositions cantonales harmonisées correspondantes (ATF 140 II 88 consid. 10 ; cf. également arrêt du Tribunal fédéral 2C_639/2022 du 14 octobre 2022 consid. 10). Il peut ainsi être renvoyé à la motivation développée en matière d’impôt fédéral direct. Il en va de même s’agissant de l’examen de la compétence pour imposer sur le plan international.</w:t>
      </w:r>
    </w:p>
    <w:p>
      <w:r>
        <w:rPr>
          <w:b/>
        </w:rPr>
        <w:t>E. 5</w:t>
      </w:r>
    </w:p>
    <w:p>
      <w:r>
        <w:t>Partant, le recours doit ainsi également être rejeté en tant qu’il concerne les impôts cantonaux et communaux des périodes considérées. IV. Conclusion, frais et dépens</w:t>
      </w:r>
    </w:p>
    <w:p>
      <w:r>
        <w:rPr>
          <w:b/>
        </w:rPr>
        <w:t>E. 6</w:t>
      </w:r>
    </w:p>
    <w:p>
      <w:r>
        <w:t>- 12 -</w:t>
      </w:r>
    </w:p>
    <w:p>
      <w:r>
        <w:rPr>
          <w:b/>
        </w:rPr>
        <w:t>E. 6.1</w:t>
      </w:r>
    </w:p>
    <w:p>
      <w:r>
        <w:t>Attendu ce qui précède, le recours est rejeté dans la mesure de sa recevabilité (art. 80 al. 1 let. e et 60 al. 1 LPJA).</w:t>
      </w:r>
    </w:p>
    <w:p>
      <w:r>
        <w:rPr>
          <w:b/>
        </w:rPr>
        <w:t>E. 6.2</w:t>
      </w:r>
    </w:p>
    <w:p>
      <w:r>
        <w:t>Vu l'issue du litige, les frais de la cause doivent être mis à la charge de la recourante qui n’a pas droit à des dépens (art. 89 al. 1 et 91 al. 1 a contrario LPJA par renvoi de l’art. 150 al. 3 LF).</w:t>
      </w:r>
    </w:p>
    <w:p>
      <w:r>
        <w:rPr>
          <w:b/>
        </w:rPr>
        <w:t>E. 6.3</w:t>
      </w:r>
    </w:p>
    <w:p>
      <w:r>
        <w:t>Sur le vu des principes de la couverture des frais et de l’équivalence des prestations et compte tenu des critères d'appréciation et des limites des art. 13 al. 1 et 25 LTar, l'émolument de justice est fixé à 1500 fr., débours compris (art. 11 LTar par renvoi de l’art. 150 al. 3 LF).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